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336" w:lineRule="auto"/>
        <w:jc w:val="center"/>
        <w:rPr>
          <w:rFonts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>教育（学科教学：语文）</w:t>
      </w:r>
    </w:p>
    <w:p>
      <w:pPr>
        <w:widowControl w:val="0"/>
        <w:adjustRightInd/>
        <w:snapToGrid/>
        <w:spacing w:after="0" w:line="336" w:lineRule="auto"/>
        <w:jc w:val="center"/>
        <w:rPr>
          <w:rFonts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>(045103)</w:t>
      </w:r>
    </w:p>
    <w:p>
      <w:pPr>
        <w:spacing w:before="240" w:beforeLines="100" w:after="240" w:afterLines="100"/>
        <w:ind w:firstLine="482" w:firstLineChars="200"/>
        <w:jc w:val="both"/>
        <w:rPr>
          <w:rFonts w:asciiTheme="minorEastAsia" w:hAnsiTheme="minorEastAsia" w:eastAsiaTheme="minorEastAsia" w:cstheme="minorEastAsia"/>
          <w:b/>
          <w:bCs/>
          <w:color w:val="0C0C0C" w:themeColor="text1" w:themeTint="F2"/>
          <w:sz w:val="24"/>
          <w:szCs w:val="24"/>
        </w:rPr>
      </w:pP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一、培养目标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培养高素质的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eastAsia="zh-CN"/>
        </w:rPr>
        <w:t>全日制普通中学</w:t>
      </w:r>
      <w:r>
        <w:rPr>
          <w:rFonts w:hint="eastAsia" w:ascii="宋体" w:hAnsi="宋体" w:eastAsia="宋体" w:cs="宋体"/>
          <w:kern w:val="2"/>
          <w:sz w:val="24"/>
          <w:szCs w:val="24"/>
        </w:rPr>
        <w:t>语文课程专任教师。具体要求为：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1.热爱祖国，拥护中国共产党领导。热爱教育事业，教书育人，为人师表，积极进取，勇于创新。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2.掌握现代教育理论，具有良好的知识结构和扎实的专业基础，了解语文学科前沿和发展趋势。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3.具有较强的实践能力，胜任并创造性开展语文教学和相关管理工作。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4.具有发现和解决问题、终身学习与发展的意识与能力。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5.能较为熟练地运用一种外国语阅读本专业的外文文献资料。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</w:pPr>
      <w:r>
        <w:rPr>
          <w:rFonts w:hint="eastAsia"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  <w:t>二、学制与培养方式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1.学制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学制3年，最长学习年限5年（含休学、保留学籍时间）。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2.培养方式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⑴重视理论与实践相结合。实行双导师制，校内外导师共同指导学生的学习和研究工作。</w:t>
      </w:r>
      <w:r>
        <w:rPr>
          <w:rFonts w:ascii="宋体" w:hAnsi="宋体" w:eastAsia="宋体" w:cs="宋体"/>
          <w:kern w:val="2"/>
          <w:sz w:val="24"/>
          <w:szCs w:val="24"/>
        </w:rPr>
        <w:t>学位论文实行导师指导与导师组集体指导相结合的模式</w:t>
      </w:r>
      <w:r>
        <w:rPr>
          <w:rFonts w:hint="eastAsia" w:ascii="宋体" w:hAnsi="宋体" w:eastAsia="宋体" w:cs="宋体"/>
          <w:kern w:val="2"/>
          <w:sz w:val="24"/>
          <w:szCs w:val="24"/>
        </w:rPr>
        <w:t>，</w:t>
      </w:r>
      <w:r>
        <w:rPr>
          <w:rFonts w:ascii="宋体" w:hAnsi="宋体" w:eastAsia="宋体" w:cs="宋体"/>
          <w:kern w:val="2"/>
          <w:sz w:val="24"/>
          <w:szCs w:val="24"/>
        </w:rPr>
        <w:t>其中学位论文开题、中期检查、预答辩等培养环节由导师组集体指导</w:t>
      </w:r>
      <w:r>
        <w:rPr>
          <w:rFonts w:hint="eastAsia" w:ascii="宋体" w:hAnsi="宋体" w:eastAsia="宋体" w:cs="宋体"/>
          <w:kern w:val="2"/>
          <w:sz w:val="24"/>
          <w:szCs w:val="24"/>
        </w:rPr>
        <w:t>。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⑵</w:t>
      </w:r>
      <w:r>
        <w:rPr>
          <w:rFonts w:ascii="宋体" w:hAnsi="宋体" w:eastAsia="宋体" w:cs="宋体"/>
          <w:kern w:val="2"/>
          <w:sz w:val="24"/>
          <w:szCs w:val="24"/>
        </w:rPr>
        <w:t>课程</w:t>
      </w:r>
      <w:r>
        <w:rPr>
          <w:rFonts w:hint="eastAsia" w:ascii="宋体" w:hAnsi="宋体" w:eastAsia="宋体" w:cs="宋体"/>
          <w:kern w:val="2"/>
          <w:sz w:val="24"/>
          <w:szCs w:val="24"/>
        </w:rPr>
        <w:t>教学根据培养目标、课程性质和教学内容，选择恰当的教学方式与方法，在教学中注重实践与反思，采取案例教学、问题引导式、项目驱动式等方式，注重课内与课外学习相结合，强调学生自觉主动学习与研究，充分利用互联网、“雨课堂”等现代教学技术手段，开展线上线下混合式教学。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</w:pPr>
      <w:r>
        <w:rPr>
          <w:rFonts w:hint="eastAsia"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  <w:t>三、学分要求与课程设置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1.学分要求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总学分不少于</w:t>
      </w:r>
      <w:r>
        <w:rPr>
          <w:rFonts w:ascii="宋体" w:hAnsi="宋体" w:eastAsia="宋体" w:cs="宋体"/>
          <w:kern w:val="2"/>
          <w:sz w:val="24"/>
          <w:szCs w:val="24"/>
        </w:rPr>
        <w:t>4</w:t>
      </w:r>
      <w:r>
        <w:rPr>
          <w:rFonts w:hint="eastAsia" w:ascii="宋体" w:hAnsi="宋体" w:eastAsia="宋体" w:cs="宋体"/>
          <w:kern w:val="2"/>
          <w:sz w:val="24"/>
          <w:szCs w:val="24"/>
        </w:rPr>
        <w:t>3学分。其中学位基础课15学分，专业必修课10学分，专业选修课</w:t>
      </w:r>
      <w:r>
        <w:rPr>
          <w:rFonts w:ascii="宋体" w:hAnsi="宋体" w:eastAsia="宋体" w:cs="宋体"/>
          <w:kern w:val="2"/>
          <w:sz w:val="24"/>
          <w:szCs w:val="24"/>
        </w:rPr>
        <w:t>9</w:t>
      </w:r>
      <w:r>
        <w:rPr>
          <w:rFonts w:hint="eastAsia" w:ascii="宋体" w:hAnsi="宋体" w:eastAsia="宋体" w:cs="宋体"/>
          <w:kern w:val="2"/>
          <w:sz w:val="24"/>
          <w:szCs w:val="24"/>
        </w:rPr>
        <w:t>学分，实践教学</w:t>
      </w:r>
      <w:r>
        <w:rPr>
          <w:rFonts w:ascii="宋体" w:hAnsi="宋体" w:eastAsia="宋体" w:cs="宋体"/>
          <w:kern w:val="2"/>
          <w:sz w:val="24"/>
          <w:szCs w:val="24"/>
        </w:rPr>
        <w:t>8</w:t>
      </w:r>
      <w:r>
        <w:rPr>
          <w:rFonts w:hint="eastAsia" w:ascii="宋体" w:hAnsi="宋体" w:eastAsia="宋体" w:cs="宋体"/>
          <w:kern w:val="2"/>
          <w:sz w:val="24"/>
          <w:szCs w:val="24"/>
        </w:rPr>
        <w:t>学分，学术活动1学分。非师范类专业或跨学科毕业生入学后，应至少补修2门教师教育类本科课程（如教育学、心理学），不计学分。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kern w:val="2"/>
          <w:sz w:val="24"/>
          <w:szCs w:val="24"/>
        </w:rPr>
      </w:pPr>
      <w:r>
        <w:rPr>
          <w:rFonts w:ascii="宋体" w:hAnsi="宋体" w:eastAsia="宋体" w:cs="Times New Roman"/>
          <w:b/>
          <w:kern w:val="2"/>
          <w:sz w:val="24"/>
          <w:szCs w:val="24"/>
        </w:rPr>
        <w:t>2.</w:t>
      </w: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课程设置</w:t>
      </w:r>
    </w:p>
    <w:tbl>
      <w:tblPr>
        <w:tblStyle w:val="6"/>
        <w:tblW w:w="8583" w:type="dxa"/>
        <w:jc w:val="center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749"/>
        <w:gridCol w:w="709"/>
        <w:gridCol w:w="567"/>
        <w:gridCol w:w="425"/>
        <w:gridCol w:w="426"/>
        <w:gridCol w:w="425"/>
        <w:gridCol w:w="425"/>
        <w:gridCol w:w="425"/>
        <w:gridCol w:w="426"/>
        <w:gridCol w:w="1157"/>
        <w:gridCol w:w="5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cantSplit/>
          <w:trHeight w:val="304" w:hRule="atLeast"/>
          <w:jc w:val="center"/>
        </w:trPr>
        <w:tc>
          <w:tcPr>
            <w:tcW w:w="792" w:type="dxa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spacing w:val="-20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spacing w:val="-20"/>
                <w:kern w:val="2"/>
                <w:sz w:val="21"/>
                <w:szCs w:val="21"/>
              </w:rPr>
              <w:t>课 程</w:t>
            </w:r>
          </w:p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spacing w:val="-20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spacing w:val="-20"/>
                <w:kern w:val="2"/>
                <w:sz w:val="21"/>
                <w:szCs w:val="21"/>
              </w:rPr>
              <w:t>类 别</w:t>
            </w:r>
          </w:p>
        </w:tc>
        <w:tc>
          <w:tcPr>
            <w:tcW w:w="2749" w:type="dxa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课程名称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spacing w:val="-20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C0C0C"/>
                <w:spacing w:val="-20"/>
                <w:kern w:val="2"/>
                <w:sz w:val="21"/>
                <w:szCs w:val="21"/>
              </w:rPr>
              <w:t>学</w:t>
            </w:r>
            <w:r>
              <w:rPr>
                <w:rFonts w:ascii="Times New Roman" w:hAnsi="Times New Roman" w:eastAsia="宋体" w:cs="Times New Roman"/>
                <w:color w:val="0C0C0C"/>
                <w:spacing w:val="-30"/>
                <w:kern w:val="2"/>
                <w:sz w:val="21"/>
                <w:szCs w:val="21"/>
              </w:rPr>
              <w:t>时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widowControl w:val="0"/>
              <w:spacing w:after="0"/>
              <w:ind w:left="-44" w:leftChars="-20" w:right="-44" w:rightChars="-20"/>
              <w:jc w:val="center"/>
              <w:rPr>
                <w:rFonts w:ascii="Times New Roman" w:hAnsi="Times New Roman" w:eastAsia="宋体" w:cs="Times New Roman"/>
                <w:color w:val="0C0C0C"/>
                <w:spacing w:val="-30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C0C0C"/>
                <w:spacing w:val="-30"/>
                <w:kern w:val="2"/>
                <w:sz w:val="21"/>
                <w:szCs w:val="21"/>
              </w:rPr>
              <w:t>学</w:t>
            </w:r>
          </w:p>
          <w:p>
            <w:pPr>
              <w:widowControl w:val="0"/>
              <w:spacing w:after="0"/>
              <w:ind w:left="-44" w:leftChars="-20" w:right="-44" w:rightChars="-20"/>
              <w:jc w:val="center"/>
              <w:rPr>
                <w:rFonts w:ascii="Times New Roman" w:hAnsi="Times New Roman" w:eastAsia="宋体" w:cs="Times New Roman"/>
                <w:color w:val="0C0C0C"/>
                <w:spacing w:val="-30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C0C0C"/>
                <w:spacing w:val="-20"/>
                <w:kern w:val="2"/>
                <w:sz w:val="21"/>
                <w:szCs w:val="21"/>
              </w:rPr>
              <w:t>分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开课学期</w:t>
            </w:r>
          </w:p>
        </w:tc>
        <w:tc>
          <w:tcPr>
            <w:tcW w:w="115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7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1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6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792" w:type="dxa"/>
            <w:vMerge w:val="restart"/>
            <w:textDirection w:val="tbRlV"/>
            <w:vAlign w:val="center"/>
          </w:tcPr>
          <w:p>
            <w:pPr>
              <w:widowControl w:val="0"/>
              <w:spacing w:after="0"/>
              <w:ind w:left="113" w:right="113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学位基础课</w:t>
            </w: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研究生英语I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1214" w:type="dxa"/>
            <w:gridSpan w:val="2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eastAsia="zh-CN"/>
              </w:rPr>
              <w:t>必修</w:t>
            </w:r>
          </w:p>
          <w:p>
            <w:pPr>
              <w:widowControl w:val="0"/>
              <w:spacing w:after="0"/>
              <w:jc w:val="center"/>
              <w:rPr>
                <w:rFonts w:hint="default" w:ascii="Calibri" w:hAnsi="Calibri" w:eastAsia="宋体" w:cs="Times New Roman"/>
                <w:color w:val="0C0C0C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/>
              </w:rPr>
              <w:t>15学分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92" w:type="dxa"/>
            <w:vMerge w:val="continue"/>
            <w:textDirection w:val="tbRlV"/>
            <w:vAlign w:val="center"/>
          </w:tcPr>
          <w:p>
            <w:pPr>
              <w:widowControl w:val="0"/>
              <w:spacing w:after="0"/>
              <w:ind w:left="113" w:right="113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研究生英语II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中国特色社会主义理论与实践研究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宋体" w:eastAsia="宋体" w:cs="Times New Roman"/>
                <w:color w:val="0C0C0C"/>
                <w:kern w:val="2"/>
                <w:sz w:val="21"/>
                <w:szCs w:val="21"/>
              </w:rPr>
              <w:t>马克思主义与社会科学方法论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教育原理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课程与教学论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心理发展与教育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教育研究方法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restart"/>
            <w:textDirection w:val="tbRlV"/>
            <w:vAlign w:val="center"/>
          </w:tcPr>
          <w:p>
            <w:pPr>
              <w:widowControl w:val="0"/>
              <w:spacing w:after="0"/>
              <w:ind w:left="113" w:right="113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专业必修课</w:t>
            </w: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语文课程与教材研究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both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</w:rPr>
              <w:t>必修</w:t>
            </w:r>
          </w:p>
          <w:p>
            <w:pPr>
              <w:widowControl w:val="0"/>
              <w:spacing w:after="0"/>
              <w:jc w:val="center"/>
              <w:rPr>
                <w:rFonts w:hint="default" w:ascii="Calibri" w:hAnsi="Calibri" w:eastAsia="宋体" w:cs="Times New Roman"/>
                <w:color w:val="0C0C0C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/>
              </w:rPr>
              <w:t>10学分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语文教学设计与实施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语文教育发展史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文学研究与语文教学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  <w:highlight w:val="cyan"/>
              </w:rPr>
              <w:t>现代教育技术应用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restart"/>
            <w:textDirection w:val="tbRlV"/>
            <w:vAlign w:val="center"/>
          </w:tcPr>
          <w:p>
            <w:pPr>
              <w:widowControl w:val="0"/>
              <w:spacing w:after="0"/>
              <w:ind w:left="113" w:right="113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专业选修课</w:t>
            </w: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教育哲学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bCs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bCs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restart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imes New Roman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</w:rPr>
              <w:t>至少</w:t>
            </w:r>
          </w:p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</w:rPr>
              <w:t>选9学分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</w:rPr>
              <w:t>教育测量与评价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eastAsia="zh-CN"/>
              </w:rPr>
              <w:t>国际基础教育改革比较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语言研究与语文教学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color w:val="0C0C0C"/>
                <w:kern w:val="2"/>
                <w:sz w:val="21"/>
                <w:szCs w:val="21"/>
              </w:rPr>
              <w:t>文本解读方法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语文课题研究与论文写作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语文教育研究前沿讲座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hint="eastAsia" w:ascii="宋体" w:hAnsi="宋体" w:eastAsia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 w:val="21"/>
                <w:szCs w:val="21"/>
                <w:lang w:eastAsia="zh-CN"/>
              </w:rPr>
              <w:t>语文教育教学名家研究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FF0000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FF0000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FF0000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FF0000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  <w:lang w:eastAsia="zh-CN"/>
              </w:rPr>
              <w:t>作文</w:t>
            </w: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教学研究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bCs/>
                <w:color w:val="0C0C0C"/>
                <w:kern w:val="2"/>
                <w:sz w:val="21"/>
                <w:szCs w:val="21"/>
              </w:rPr>
              <w:t>基础教育改革</w:t>
            </w:r>
            <w:r>
              <w:rPr>
                <w:rFonts w:hint="eastAsia" w:ascii="Calibri" w:hAnsi="Calibri" w:eastAsia="宋体" w:cs="Times New Roman"/>
                <w:bCs/>
                <w:color w:val="0C0C0C"/>
                <w:kern w:val="2"/>
                <w:sz w:val="21"/>
                <w:szCs w:val="21"/>
              </w:rPr>
              <w:t>与发展专题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bCs/>
                <w:color w:val="0C0C0C"/>
                <w:kern w:val="2"/>
                <w:sz w:val="21"/>
                <w:szCs w:val="21"/>
                <w:highlight w:val="cyan"/>
              </w:rPr>
            </w:pPr>
            <w:r>
              <w:rPr>
                <w:rFonts w:hint="eastAsia" w:ascii="Calibri" w:hAnsi="Calibri" w:eastAsia="宋体" w:cs="Times New Roman"/>
                <w:bCs/>
                <w:color w:val="0C0C0C"/>
                <w:kern w:val="2"/>
                <w:sz w:val="21"/>
                <w:szCs w:val="21"/>
                <w:highlight w:val="cyan"/>
                <w:lang w:val="en-US" w:eastAsia="zh-CN"/>
              </w:rPr>
              <w:t>班级管理与班主任工作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rPr>
                <w:rFonts w:hint="default" w:ascii="Calibri" w:hAnsi="Calibri" w:eastAsia="宋体" w:cs="Times New Roman"/>
                <w:bCs/>
                <w:color w:val="0C0C0C"/>
                <w:kern w:val="2"/>
                <w:sz w:val="21"/>
                <w:szCs w:val="21"/>
                <w:highlight w:val="cy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Cs/>
                <w:color w:val="0C0C0C"/>
                <w:kern w:val="2"/>
                <w:sz w:val="21"/>
                <w:szCs w:val="21"/>
                <w:highlight w:val="cyan"/>
                <w:lang w:val="en-US" w:eastAsia="zh-CN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rPr>
                <w:rFonts w:hint="eastAsia" w:ascii="Calibri" w:hAnsi="Calibri" w:eastAsia="宋体" w:cs="Times New Roman"/>
                <w:bCs/>
                <w:color w:val="0C0C0C"/>
                <w:kern w:val="2"/>
                <w:sz w:val="21"/>
                <w:szCs w:val="21"/>
                <w:highlight w:val="cyan"/>
                <w:lang w:eastAsia="zh-CN"/>
              </w:rPr>
            </w:pPr>
            <w:r>
              <w:rPr>
                <w:rFonts w:hint="eastAsia" w:ascii="Calibri" w:hAnsi="Calibri" w:eastAsia="宋体" w:cs="Times New Roman"/>
                <w:bCs/>
                <w:color w:val="0C0C0C"/>
                <w:kern w:val="2"/>
                <w:sz w:val="21"/>
                <w:szCs w:val="21"/>
                <w:highlight w:val="cyan"/>
                <w:lang w:val="en-US" w:eastAsia="zh-CN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restart"/>
            <w:textDirection w:val="tbRlV"/>
            <w:vAlign w:val="center"/>
          </w:tcPr>
          <w:p>
            <w:pPr>
              <w:widowControl w:val="0"/>
              <w:spacing w:after="0"/>
              <w:ind w:left="113" w:right="113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必修环节</w:t>
            </w: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spacing w:val="-4"/>
                <w:kern w:val="2"/>
                <w:sz w:val="21"/>
                <w:szCs w:val="21"/>
              </w:rPr>
              <w:t>教学技能训练与</w:t>
            </w:r>
            <w:r>
              <w:rPr>
                <w:rFonts w:hint="eastAsia" w:ascii="Calibri" w:hAnsi="Calibri" w:eastAsia="宋体" w:cs="Times New Roman"/>
                <w:color w:val="0C0C0C"/>
                <w:spacing w:val="-4"/>
                <w:kern w:val="2"/>
                <w:sz w:val="21"/>
                <w:szCs w:val="21"/>
              </w:rPr>
              <w:t>课</w:t>
            </w:r>
            <w:r>
              <w:rPr>
                <w:rFonts w:ascii="Calibri" w:hAnsi="Calibri" w:eastAsia="宋体" w:cs="Times New Roman"/>
                <w:color w:val="0C0C0C"/>
                <w:spacing w:val="-4"/>
                <w:kern w:val="2"/>
                <w:sz w:val="21"/>
                <w:szCs w:val="21"/>
              </w:rPr>
              <w:t>例分析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  <w:t>第一学年</w:t>
            </w:r>
          </w:p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  <w:t>完成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:szCs w:val="21"/>
              </w:rPr>
              <w:t>教育见习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</w:rPr>
              <w:t>周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/>
              </w:rPr>
              <w:t>1周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/>
              </w:rPr>
              <w:t>1周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:szCs w:val="21"/>
              </w:rPr>
              <w:t>教育研习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</w:rPr>
              <w:t>2周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  <w:t>第二学年</w:t>
            </w:r>
          </w:p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  <w:t>完成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教育实习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1学期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学术活动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补修课程</w:t>
            </w: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21"/>
                <w:szCs w:val="21"/>
              </w:rPr>
              <w:t>教育</w:t>
            </w: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心理学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color w:val="0C0C0C"/>
                <w:kern w:val="2"/>
                <w:sz w:val="18"/>
                <w:szCs w:val="18"/>
              </w:rPr>
              <w:t>非师范类专业或跨学科学生补修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2749" w:type="dxa"/>
            <w:vAlign w:val="center"/>
          </w:tcPr>
          <w:p>
            <w:pPr>
              <w:widowControl w:val="0"/>
              <w:spacing w:after="0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  <w:t>教育学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 w:eastAsia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 w:cstheme="minorEastAsia"/>
                <w:color w:val="0C0C0C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Calibri" w:hAnsi="Calibri" w:eastAsia="宋体" w:cs="Times New Roman"/>
                <w:color w:val="0C0C0C"/>
                <w:kern w:val="2"/>
                <w:sz w:val="21"/>
                <w:szCs w:val="21"/>
              </w:rPr>
            </w:pPr>
          </w:p>
        </w:tc>
      </w:tr>
    </w:tbl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hint="eastAsia"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</w:pP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hint="eastAsia"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</w:pP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hint="eastAsia"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</w:pP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</w:pPr>
      <w:r>
        <w:rPr>
          <w:rFonts w:hint="eastAsia"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  <w:t>四、实践环节与学术活动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bCs w:val="0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bCs w:val="0"/>
          <w:color w:val="000000" w:themeColor="text1"/>
          <w:kern w:val="2"/>
          <w:sz w:val="24"/>
          <w:szCs w:val="24"/>
        </w:rPr>
        <w:t>1.实践环节</w:t>
      </w:r>
    </w:p>
    <w:p>
      <w:pPr>
        <w:widowControl w:val="0"/>
        <w:adjustRightInd/>
        <w:snapToGrid/>
        <w:spacing w:after="0" w:line="40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本专业领域的实践教学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包括</w:t>
      </w:r>
      <w:r>
        <w:rPr>
          <w:rFonts w:hint="eastAsia" w:ascii="宋体" w:hAnsi="宋体" w:eastAsia="宋体" w:cs="宋体"/>
          <w:kern w:val="2"/>
          <w:sz w:val="24"/>
          <w:szCs w:val="24"/>
        </w:rPr>
        <w:t>校内实训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和校外实践两部分。</w:t>
      </w:r>
      <w:r>
        <w:rPr>
          <w:rFonts w:hint="eastAsia" w:ascii="宋体" w:hAnsi="宋体" w:eastAsia="宋体" w:cs="宋体"/>
          <w:kern w:val="2"/>
          <w:sz w:val="24"/>
          <w:szCs w:val="24"/>
        </w:rPr>
        <w:t>校内实训包括教学技能训练、微格教学、课例分析等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kern w:val="2"/>
          <w:sz w:val="24"/>
          <w:szCs w:val="24"/>
        </w:rPr>
        <w:t>校外实践以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eastAsia="zh-CN"/>
        </w:rPr>
        <w:t>全日制普通中学</w:t>
      </w:r>
      <w:r>
        <w:rPr>
          <w:rFonts w:hint="eastAsia" w:ascii="宋体" w:hAnsi="宋体" w:eastAsia="宋体" w:cs="宋体"/>
          <w:kern w:val="2"/>
          <w:sz w:val="24"/>
          <w:szCs w:val="24"/>
        </w:rPr>
        <w:t>的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语文</w:t>
      </w:r>
      <w:r>
        <w:rPr>
          <w:rFonts w:hint="eastAsia" w:ascii="宋体" w:hAnsi="宋体" w:eastAsia="宋体" w:cs="宋体"/>
          <w:kern w:val="2"/>
          <w:sz w:val="24"/>
          <w:szCs w:val="24"/>
        </w:rPr>
        <w:t>教育教学工作为主，包括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教育</w:t>
      </w:r>
      <w:r>
        <w:rPr>
          <w:rFonts w:hint="eastAsia" w:ascii="宋体" w:hAnsi="宋体" w:eastAsia="宋体" w:cs="宋体"/>
          <w:kern w:val="2"/>
          <w:sz w:val="24"/>
          <w:szCs w:val="24"/>
        </w:rPr>
        <w:t>见习、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教育</w:t>
      </w:r>
      <w:r>
        <w:rPr>
          <w:rFonts w:hint="eastAsia" w:ascii="宋体" w:hAnsi="宋体" w:eastAsia="宋体" w:cs="宋体"/>
          <w:kern w:val="2"/>
          <w:sz w:val="24"/>
          <w:szCs w:val="24"/>
        </w:rPr>
        <w:t>研习、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教育</w:t>
      </w:r>
      <w:r>
        <w:rPr>
          <w:rFonts w:hint="eastAsia" w:ascii="宋体" w:hAnsi="宋体" w:eastAsia="宋体" w:cs="宋体"/>
          <w:kern w:val="2"/>
          <w:sz w:val="24"/>
          <w:szCs w:val="24"/>
        </w:rPr>
        <w:t>实习等多种实践形式。</w:t>
      </w:r>
      <w:r>
        <w:rPr>
          <w:rFonts w:hint="eastAsia" w:ascii="宋体" w:hAnsi="宋体" w:eastAsia="宋体" w:cs="宋体"/>
          <w:kern w:val="2"/>
          <w:sz w:val="24"/>
          <w:szCs w:val="24"/>
          <w:highlight w:val="cyan"/>
        </w:rPr>
        <w:t>教育见习在第一学年完成，每学期1周，共2周，见习任务主要是听课、评课、观察、反思与讨论。教育研习在第三学期完成，时间为2周，主要就</w:t>
      </w:r>
      <w:r>
        <w:rPr>
          <w:rFonts w:hint="eastAsia" w:ascii="宋体" w:hAnsi="宋体" w:eastAsia="宋体" w:cs="宋体"/>
          <w:kern w:val="2"/>
          <w:sz w:val="24"/>
          <w:szCs w:val="24"/>
          <w:highlight w:val="cyan"/>
          <w:lang w:val="en-US" w:eastAsia="zh-CN"/>
        </w:rPr>
        <w:t>语文</w:t>
      </w:r>
      <w:r>
        <w:rPr>
          <w:rFonts w:hint="eastAsia" w:ascii="宋体" w:hAnsi="宋体" w:eastAsia="宋体" w:cs="宋体"/>
          <w:kern w:val="2"/>
          <w:sz w:val="24"/>
          <w:szCs w:val="24"/>
          <w:highlight w:val="cyan"/>
        </w:rPr>
        <w:t>教育</w:t>
      </w:r>
      <w:r>
        <w:rPr>
          <w:rFonts w:hint="eastAsia" w:ascii="宋体" w:hAnsi="宋体" w:eastAsia="宋体" w:cs="宋体"/>
          <w:kern w:val="2"/>
          <w:sz w:val="24"/>
          <w:szCs w:val="24"/>
          <w:highlight w:val="cyan"/>
          <w:lang w:val="en-US" w:eastAsia="zh-CN"/>
        </w:rPr>
        <w:t>教学</w:t>
      </w:r>
      <w:r>
        <w:rPr>
          <w:rFonts w:hint="eastAsia" w:ascii="宋体" w:hAnsi="宋体" w:eastAsia="宋体" w:cs="宋体"/>
          <w:kern w:val="2"/>
          <w:sz w:val="24"/>
          <w:szCs w:val="24"/>
          <w:highlight w:val="cyan"/>
        </w:rPr>
        <w:t>个案进行探究性研讨。教育实习在第四学期完成，时间为1学期，尽可能采取顶岗实习的方式。</w:t>
      </w:r>
      <w:r>
        <w:rPr>
          <w:rFonts w:hint="eastAsia" w:ascii="宋体" w:hAnsi="宋体" w:eastAsia="宋体" w:cs="宋体"/>
          <w:kern w:val="2"/>
          <w:sz w:val="24"/>
          <w:szCs w:val="24"/>
        </w:rPr>
        <w:t>实践教学管理与考核按《吉首大学全日制教育硕士专业学位研究生实践教学实施办法》实行。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2.学术活动</w:t>
      </w:r>
    </w:p>
    <w:p>
      <w:pPr>
        <w:widowControl w:val="0"/>
        <w:spacing w:after="0" w:line="400" w:lineRule="exact"/>
        <w:ind w:firstLine="480" w:firstLineChars="200"/>
        <w:jc w:val="both"/>
        <w:rPr>
          <w:rFonts w:hint="eastAsia"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学术活动的主要形式包括听学术报告、专家讲座，参加学术会议，参加学校或省级研究生论坛报告会及研讨会等。须在第一至第二学年里参加学术活动5次以上，其中本人主讲报告至少1次。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</w:pPr>
      <w:r>
        <w:rPr>
          <w:rFonts w:hint="eastAsia"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  <w:t>五、中期考核</w:t>
      </w:r>
    </w:p>
    <w:p>
      <w:pPr>
        <w:widowControl w:val="0"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中期考核在第四学期的第一个月内进行。按照《吉首大学研究生中期考核实施办法》，主要考核研究生的政治思想、课程学习成绩、教学实践、学术水平、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kern w:val="2"/>
          <w:sz w:val="24"/>
          <w:szCs w:val="24"/>
        </w:rPr>
        <w:t>能力等方面。</w:t>
      </w:r>
    </w:p>
    <w:p>
      <w:pPr>
        <w:widowControl w:val="0"/>
        <w:adjustRightInd/>
        <w:snapToGrid/>
        <w:spacing w:after="0" w:line="400" w:lineRule="exact"/>
        <w:ind w:firstLine="482" w:firstLineChars="200"/>
        <w:jc w:val="both"/>
        <w:rPr>
          <w:rFonts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</w:pPr>
      <w:r>
        <w:rPr>
          <w:rFonts w:hint="eastAsia" w:cs="宋体" w:asciiTheme="minorEastAsia" w:hAnsiTheme="minorEastAsia" w:eastAsiaTheme="minorEastAsia"/>
          <w:b/>
          <w:color w:val="0C0C0C" w:themeColor="text1" w:themeTint="F2"/>
          <w:kern w:val="2"/>
          <w:sz w:val="24"/>
        </w:rPr>
        <w:t>六、学位论文</w:t>
      </w:r>
    </w:p>
    <w:p>
      <w:pPr>
        <w:widowControl w:val="0"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1.学位论文选题应与语文教育方向的培养目标相一致，来源于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eastAsia="zh-CN"/>
        </w:rPr>
        <w:t>全日制普通中学</w:t>
      </w:r>
      <w:r>
        <w:rPr>
          <w:rFonts w:hint="eastAsia" w:ascii="宋体" w:hAnsi="宋体" w:eastAsia="宋体" w:cs="宋体"/>
          <w:kern w:val="2"/>
          <w:sz w:val="24"/>
          <w:szCs w:val="24"/>
        </w:rPr>
        <w:t>语文课程教育教学实际问题。主题可以包括课程、教材、案例开发与教学设计等，但需将相关指导思想、设计与应用、成效与反思等内容以论文的形式呈现出来，并符合学位论文的规范与要求。</w:t>
      </w:r>
      <w:r>
        <w:rPr>
          <w:rFonts w:ascii="宋体" w:hAnsi="宋体" w:eastAsia="宋体" w:cs="宋体"/>
          <w:kern w:val="2"/>
          <w:sz w:val="24"/>
          <w:szCs w:val="24"/>
        </w:rPr>
        <w:t>从提交合格的开题报告日期起到论文答辩，学位论文工作时间不得少于一年。</w:t>
      </w:r>
    </w:p>
    <w:p>
      <w:pPr>
        <w:widowControl w:val="0"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2.学位论文应符合研究规范并凸显应用价值，论文的形式可以多样化，如专题研究论文、调查研究报告、实验研究报告和案例研究报告等。论文正文部分字数不少于2万字。</w:t>
      </w:r>
    </w:p>
    <w:p>
      <w:pPr>
        <w:widowControl w:val="0"/>
        <w:spacing w:after="0" w:line="400" w:lineRule="exact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3.论文评阅人和答辩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</w:rPr>
        <w:t>委员会成员中，应至少有一名具有高级职称的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eastAsia="zh-CN"/>
        </w:rPr>
        <w:t>全日制普通中学</w:t>
      </w:r>
      <w:r>
        <w:rPr>
          <w:rFonts w:hint="eastAsia" w:ascii="宋体" w:hAnsi="宋体" w:eastAsia="宋体" w:cs="宋体"/>
          <w:kern w:val="2"/>
          <w:sz w:val="24"/>
          <w:szCs w:val="24"/>
        </w:rPr>
        <w:t>承担语文课程教育教学的教师。</w:t>
      </w:r>
    </w:p>
    <w:p>
      <w:pPr>
        <w:widowControl w:val="0"/>
        <w:spacing w:after="0" w:line="40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4.修满规定学分，</w:t>
      </w:r>
      <w:r>
        <w:rPr>
          <w:rFonts w:hint="eastAsia" w:ascii="宋体" w:hAnsi="宋体" w:eastAsia="宋体" w:cs="宋体"/>
          <w:kern w:val="2"/>
          <w:sz w:val="24"/>
          <w:szCs w:val="24"/>
          <w:highlight w:val="cyan"/>
        </w:rPr>
        <w:t>具备《吉首大学教育硕士专业学位授予标准》所要求的学术成果和实践成果，</w:t>
      </w:r>
      <w:r>
        <w:rPr>
          <w:rFonts w:hint="eastAsia" w:ascii="宋体" w:hAnsi="宋体" w:eastAsia="宋体" w:cs="宋体"/>
          <w:kern w:val="2"/>
          <w:sz w:val="24"/>
          <w:szCs w:val="24"/>
        </w:rPr>
        <w:t>并通过论文答辩者，经学校学位评定委员会审核通过，授予教育硕士专业学位，同时获得硕士研究生毕业证书。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707023"/>
                </w:sdtPr>
                <w:sdtContent>
                  <w:p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3"/>
    </o:shapelayout>
  </w:hdrShapeDefaults>
  <w:compat>
    <w:useFELayout/>
    <w:compatSetting w:name="compatibilityMode" w:uri="http://schemas.microsoft.com/office/word" w:val="12"/>
  </w:compat>
  <w:rsids>
    <w:rsidRoot w:val="00172A27"/>
    <w:rsid w:val="000410F4"/>
    <w:rsid w:val="00070982"/>
    <w:rsid w:val="00071C58"/>
    <w:rsid w:val="000A1518"/>
    <w:rsid w:val="000A2473"/>
    <w:rsid w:val="000A3B96"/>
    <w:rsid w:val="000A63D0"/>
    <w:rsid w:val="000D04A4"/>
    <w:rsid w:val="000E0641"/>
    <w:rsid w:val="000E1578"/>
    <w:rsid w:val="000E2051"/>
    <w:rsid w:val="001031BA"/>
    <w:rsid w:val="00104477"/>
    <w:rsid w:val="00107A8E"/>
    <w:rsid w:val="00126FCC"/>
    <w:rsid w:val="00172A27"/>
    <w:rsid w:val="001D337D"/>
    <w:rsid w:val="001F705F"/>
    <w:rsid w:val="00213CF7"/>
    <w:rsid w:val="00216B7A"/>
    <w:rsid w:val="0022175F"/>
    <w:rsid w:val="00226839"/>
    <w:rsid w:val="002338BF"/>
    <w:rsid w:val="00253C0B"/>
    <w:rsid w:val="002845DD"/>
    <w:rsid w:val="002A7436"/>
    <w:rsid w:val="00323B43"/>
    <w:rsid w:val="003255C4"/>
    <w:rsid w:val="00342B57"/>
    <w:rsid w:val="003516C4"/>
    <w:rsid w:val="003626D4"/>
    <w:rsid w:val="003C58B1"/>
    <w:rsid w:val="003D37D8"/>
    <w:rsid w:val="003D6EE6"/>
    <w:rsid w:val="003E0A99"/>
    <w:rsid w:val="003F1366"/>
    <w:rsid w:val="00404FD3"/>
    <w:rsid w:val="004159C8"/>
    <w:rsid w:val="00426133"/>
    <w:rsid w:val="004358AB"/>
    <w:rsid w:val="00440EDA"/>
    <w:rsid w:val="00446C78"/>
    <w:rsid w:val="004F2694"/>
    <w:rsid w:val="004F4BEA"/>
    <w:rsid w:val="005764E3"/>
    <w:rsid w:val="005A2994"/>
    <w:rsid w:val="005B0F1B"/>
    <w:rsid w:val="005F4B5E"/>
    <w:rsid w:val="006072D2"/>
    <w:rsid w:val="0061110E"/>
    <w:rsid w:val="00620FC4"/>
    <w:rsid w:val="0062340A"/>
    <w:rsid w:val="006525BA"/>
    <w:rsid w:val="00694003"/>
    <w:rsid w:val="006B590D"/>
    <w:rsid w:val="006C69A2"/>
    <w:rsid w:val="00732D42"/>
    <w:rsid w:val="007A2BFF"/>
    <w:rsid w:val="007A5C66"/>
    <w:rsid w:val="007E701B"/>
    <w:rsid w:val="00851918"/>
    <w:rsid w:val="008A1DE6"/>
    <w:rsid w:val="008A46DB"/>
    <w:rsid w:val="008B7726"/>
    <w:rsid w:val="00933913"/>
    <w:rsid w:val="009424E4"/>
    <w:rsid w:val="00951794"/>
    <w:rsid w:val="0095733B"/>
    <w:rsid w:val="009719C5"/>
    <w:rsid w:val="00980870"/>
    <w:rsid w:val="00985F6C"/>
    <w:rsid w:val="00991F7A"/>
    <w:rsid w:val="00997A2C"/>
    <w:rsid w:val="009C22FA"/>
    <w:rsid w:val="009C45EC"/>
    <w:rsid w:val="009C6951"/>
    <w:rsid w:val="009E1F6B"/>
    <w:rsid w:val="009F1740"/>
    <w:rsid w:val="00A262AA"/>
    <w:rsid w:val="00A41275"/>
    <w:rsid w:val="00A719B6"/>
    <w:rsid w:val="00A94721"/>
    <w:rsid w:val="00AB2441"/>
    <w:rsid w:val="00B11F3E"/>
    <w:rsid w:val="00B56060"/>
    <w:rsid w:val="00BC2BB1"/>
    <w:rsid w:val="00BD4666"/>
    <w:rsid w:val="00BF4D28"/>
    <w:rsid w:val="00C4566A"/>
    <w:rsid w:val="00CA36CF"/>
    <w:rsid w:val="00CA7A25"/>
    <w:rsid w:val="00CC30AE"/>
    <w:rsid w:val="00CF1F73"/>
    <w:rsid w:val="00D01442"/>
    <w:rsid w:val="00D15B3F"/>
    <w:rsid w:val="00D31D50"/>
    <w:rsid w:val="00D33E14"/>
    <w:rsid w:val="00D36114"/>
    <w:rsid w:val="00D62625"/>
    <w:rsid w:val="00D64071"/>
    <w:rsid w:val="00D82475"/>
    <w:rsid w:val="00D93357"/>
    <w:rsid w:val="00DF0E52"/>
    <w:rsid w:val="00E01C14"/>
    <w:rsid w:val="00E072C2"/>
    <w:rsid w:val="00E11574"/>
    <w:rsid w:val="00E21E12"/>
    <w:rsid w:val="00E44662"/>
    <w:rsid w:val="00E46A6F"/>
    <w:rsid w:val="00E71573"/>
    <w:rsid w:val="00E81E13"/>
    <w:rsid w:val="00EA3F18"/>
    <w:rsid w:val="00EC4887"/>
    <w:rsid w:val="00F41B1B"/>
    <w:rsid w:val="00FB0D44"/>
    <w:rsid w:val="00FC26C6"/>
    <w:rsid w:val="00FD41E1"/>
    <w:rsid w:val="00FD6DFA"/>
    <w:rsid w:val="010079C6"/>
    <w:rsid w:val="01DA1B9B"/>
    <w:rsid w:val="02124DF1"/>
    <w:rsid w:val="04667473"/>
    <w:rsid w:val="05FE40D2"/>
    <w:rsid w:val="065C30F3"/>
    <w:rsid w:val="0771099B"/>
    <w:rsid w:val="08E25CE0"/>
    <w:rsid w:val="0A712AD7"/>
    <w:rsid w:val="0AB82D0A"/>
    <w:rsid w:val="0ABF677E"/>
    <w:rsid w:val="0B06211C"/>
    <w:rsid w:val="0BF277B2"/>
    <w:rsid w:val="0CCF1F5B"/>
    <w:rsid w:val="0D816492"/>
    <w:rsid w:val="0E0511B6"/>
    <w:rsid w:val="0E9568D9"/>
    <w:rsid w:val="0F6E078F"/>
    <w:rsid w:val="108518F6"/>
    <w:rsid w:val="13DE5EBE"/>
    <w:rsid w:val="13FC7D5F"/>
    <w:rsid w:val="14610BB3"/>
    <w:rsid w:val="159C0D8E"/>
    <w:rsid w:val="163C7210"/>
    <w:rsid w:val="17472F56"/>
    <w:rsid w:val="179409A3"/>
    <w:rsid w:val="1887178F"/>
    <w:rsid w:val="18AC5B9E"/>
    <w:rsid w:val="1942594B"/>
    <w:rsid w:val="1A756283"/>
    <w:rsid w:val="1AD06407"/>
    <w:rsid w:val="1AEA5BE1"/>
    <w:rsid w:val="1B6224D7"/>
    <w:rsid w:val="1D55771A"/>
    <w:rsid w:val="1D7353B0"/>
    <w:rsid w:val="1EBE2294"/>
    <w:rsid w:val="218D0C07"/>
    <w:rsid w:val="21DA7AEC"/>
    <w:rsid w:val="23505EAA"/>
    <w:rsid w:val="235F7502"/>
    <w:rsid w:val="24712F69"/>
    <w:rsid w:val="249B4337"/>
    <w:rsid w:val="24D57482"/>
    <w:rsid w:val="25833E67"/>
    <w:rsid w:val="25C73CEA"/>
    <w:rsid w:val="26723675"/>
    <w:rsid w:val="26BE52FC"/>
    <w:rsid w:val="2A4C4AD2"/>
    <w:rsid w:val="2ADF2256"/>
    <w:rsid w:val="2CBA7261"/>
    <w:rsid w:val="2DCE6FDC"/>
    <w:rsid w:val="2F2610D5"/>
    <w:rsid w:val="2F7F38FB"/>
    <w:rsid w:val="301D41F6"/>
    <w:rsid w:val="30D665EE"/>
    <w:rsid w:val="311A7930"/>
    <w:rsid w:val="31353CC1"/>
    <w:rsid w:val="31FE01F0"/>
    <w:rsid w:val="3220604F"/>
    <w:rsid w:val="330D7805"/>
    <w:rsid w:val="33150660"/>
    <w:rsid w:val="331909C6"/>
    <w:rsid w:val="33956693"/>
    <w:rsid w:val="3402343D"/>
    <w:rsid w:val="374D0BC6"/>
    <w:rsid w:val="38930125"/>
    <w:rsid w:val="39126F65"/>
    <w:rsid w:val="398269A4"/>
    <w:rsid w:val="3A8028F2"/>
    <w:rsid w:val="3C1F2EE7"/>
    <w:rsid w:val="3C331B5D"/>
    <w:rsid w:val="3CED59C9"/>
    <w:rsid w:val="3D446254"/>
    <w:rsid w:val="3E71008D"/>
    <w:rsid w:val="3F13006A"/>
    <w:rsid w:val="3FD07556"/>
    <w:rsid w:val="404D6DBF"/>
    <w:rsid w:val="40863E5D"/>
    <w:rsid w:val="40BE6615"/>
    <w:rsid w:val="41AA75D9"/>
    <w:rsid w:val="42552A8E"/>
    <w:rsid w:val="42CA07D7"/>
    <w:rsid w:val="433B4A8B"/>
    <w:rsid w:val="433D1428"/>
    <w:rsid w:val="447D1F43"/>
    <w:rsid w:val="460741CD"/>
    <w:rsid w:val="461E0FC9"/>
    <w:rsid w:val="463A08E3"/>
    <w:rsid w:val="47B35794"/>
    <w:rsid w:val="48732347"/>
    <w:rsid w:val="48893E75"/>
    <w:rsid w:val="48FA264C"/>
    <w:rsid w:val="49E456F8"/>
    <w:rsid w:val="4BBC0DD4"/>
    <w:rsid w:val="4CDE49D5"/>
    <w:rsid w:val="4D6E2855"/>
    <w:rsid w:val="4F141BDB"/>
    <w:rsid w:val="4F3A5FFE"/>
    <w:rsid w:val="4F7D1062"/>
    <w:rsid w:val="501E5240"/>
    <w:rsid w:val="520110A4"/>
    <w:rsid w:val="528E23DE"/>
    <w:rsid w:val="534A4699"/>
    <w:rsid w:val="540C25B9"/>
    <w:rsid w:val="55A8006E"/>
    <w:rsid w:val="55F419C7"/>
    <w:rsid w:val="568E6CE0"/>
    <w:rsid w:val="56B05661"/>
    <w:rsid w:val="59142C4D"/>
    <w:rsid w:val="59CE202E"/>
    <w:rsid w:val="5A0F6C13"/>
    <w:rsid w:val="5B2245E0"/>
    <w:rsid w:val="5B95292E"/>
    <w:rsid w:val="5C1F0D50"/>
    <w:rsid w:val="5C4B43CA"/>
    <w:rsid w:val="5CD41053"/>
    <w:rsid w:val="5D376446"/>
    <w:rsid w:val="5D3F008A"/>
    <w:rsid w:val="60D670F5"/>
    <w:rsid w:val="61B66666"/>
    <w:rsid w:val="61E56781"/>
    <w:rsid w:val="637654F2"/>
    <w:rsid w:val="63B7492B"/>
    <w:rsid w:val="663C5E5E"/>
    <w:rsid w:val="66940F26"/>
    <w:rsid w:val="676A4613"/>
    <w:rsid w:val="68086E0D"/>
    <w:rsid w:val="691D578E"/>
    <w:rsid w:val="6A9157C9"/>
    <w:rsid w:val="6A9D56A5"/>
    <w:rsid w:val="6B235334"/>
    <w:rsid w:val="6BF17625"/>
    <w:rsid w:val="6BF54DBF"/>
    <w:rsid w:val="6C706C29"/>
    <w:rsid w:val="6CA73281"/>
    <w:rsid w:val="6D002D30"/>
    <w:rsid w:val="6D527293"/>
    <w:rsid w:val="6D797B79"/>
    <w:rsid w:val="6EAB5CE6"/>
    <w:rsid w:val="6EB94C92"/>
    <w:rsid w:val="6F34171B"/>
    <w:rsid w:val="6FD34B7F"/>
    <w:rsid w:val="70E5093F"/>
    <w:rsid w:val="71155358"/>
    <w:rsid w:val="71C72F07"/>
    <w:rsid w:val="721746FC"/>
    <w:rsid w:val="72203EE2"/>
    <w:rsid w:val="722C7257"/>
    <w:rsid w:val="724235D2"/>
    <w:rsid w:val="72901D4F"/>
    <w:rsid w:val="72F41FC2"/>
    <w:rsid w:val="73A372C2"/>
    <w:rsid w:val="741D2241"/>
    <w:rsid w:val="741E60DC"/>
    <w:rsid w:val="750E6E05"/>
    <w:rsid w:val="757F034D"/>
    <w:rsid w:val="7671024D"/>
    <w:rsid w:val="780B4C57"/>
    <w:rsid w:val="787A609C"/>
    <w:rsid w:val="78866095"/>
    <w:rsid w:val="7BC149B8"/>
    <w:rsid w:val="7F42603C"/>
    <w:rsid w:val="7F8B3879"/>
    <w:rsid w:val="7FC1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/>
    </w:pPr>
  </w:style>
  <w:style w:type="paragraph" w:styleId="3">
    <w:name w:val="Balloon Text"/>
    <w:basedOn w:val="1"/>
    <w:link w:val="1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350</Words>
  <Characters>1997</Characters>
  <Lines>16</Lines>
  <Paragraphs>4</Paragraphs>
  <TotalTime>1</TotalTime>
  <ScaleCrop>false</ScaleCrop>
  <LinksUpToDate>false</LinksUpToDate>
  <CharactersWithSpaces>2343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DELL</dc:creator>
  <cp:lastModifiedBy>张利玲</cp:lastModifiedBy>
  <dcterms:modified xsi:type="dcterms:W3CDTF">2019-07-05T03:30:49Z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